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2019 29 vom 18. Juni 2019</w:t>
      </w:r>
    </w:p>
    <w:p>
      <w:r>
        <w:t>SZ Gerichte, 2019-06-18, DE</w:t>
      </w:r>
    </w:p>
    <w:p>
      <w:r>
        <w:rPr>
          <w:b/>
        </w:rPr>
        <w:t xml:space="preserve">Quelle: </w:t>
      </w:r>
      <w:r>
        <w:t>https://mcp.opencaselaw.ch/entscheid/sz_gerichte_ZK2 2019 29</w:t>
      </w:r>
    </w:p>
    <w:p>
      <w:r>
        <w:t>FR: SZ_GERICHTE ZK2 2019 29 du 18 juin 2019</w:t>
      </w:r>
    </w:p>
    <w:p>
      <w:r>
        <w:t>IT: SZ_GERICHTE ZK2 2019 29 del 18 giugno 2019</w:t>
      </w:r>
    </w:p>
    <w:p>
      <w:pPr>
        <w:pStyle w:val="Heading2"/>
      </w:pPr>
      <w:r>
        <w:t>Regeste</w:t>
      </w:r>
    </w:p>
    <w:p>
      <w:r>
        <w:t>Rechtsschutz in klaren Fällen (Art. 257 ZPO) | Rechtsschutz in klaren Fällen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 Gesuchstellerin und Berufungsgegnerin,</w:t>
      </w:r>
    </w:p>
    <w:p>
      <w:r>
        <w:rPr>
          <w:b/>
        </w:rPr>
        <w:t>E. 2</w:t>
      </w:r>
    </w:p>
    <w:p>
      <w:r>
        <w:t>C.________, Gesuchsteller und Berufungsgegner, beide vertreten durch Rechtsanwältin D.________, \n \n \n \n \n \n \n \n \n \n betreffend \n Rechtsschutz in klaren Fällen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